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8B710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凉山州交城建设项目管理有限责任公司</w:t>
      </w:r>
    </w:p>
    <w:p w14:paraId="2B26CC27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关于征集工程建设项目要件办理服务费用的公告</w:t>
      </w:r>
    </w:p>
    <w:p w14:paraId="6E8F096F">
      <w:pPr>
        <w:spacing w:line="579" w:lineRule="exact"/>
        <w:ind w:firstLine="643" w:firstLineChars="200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3197F98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凉山州交城建设项目管理有限责任公司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承担集团国省干线及翻坝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业主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管理工作，为加强工程建设项目要件管理，高效有序地完成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前期工作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要件办理及取得批复，现通过公开征集的方式，征集工程建设项目要件办理服务费的报价。兹诚邀能够办理该事项的相关单位参加询价征集。本次公开询价只是征集服务费用合理价格范围，不是服务商选取。</w:t>
      </w:r>
    </w:p>
    <w:p w14:paraId="0662060D">
      <w:pPr>
        <w:spacing w:line="579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一、询价内容</w:t>
      </w:r>
    </w:p>
    <w:p w14:paraId="547FD4C8">
      <w:pPr>
        <w:spacing w:line="57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询价内容详见附件。</w:t>
      </w:r>
    </w:p>
    <w:p w14:paraId="6952C25F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二、报价单位资格要求</w:t>
      </w:r>
    </w:p>
    <w:p w14:paraId="53865436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须在中华人民共和国境内注册，具备独立法人资格。</w:t>
      </w:r>
    </w:p>
    <w:p w14:paraId="102243CB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三、提交报价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文件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时间要求</w:t>
      </w:r>
    </w:p>
    <w:p w14:paraId="5F2363EE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日-202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日17：30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33631184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</w:rPr>
        <w:t>四、报价文件要求</w:t>
      </w:r>
    </w:p>
    <w:p w14:paraId="1794AAC1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凡有意参与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工程建设项目要件办理服务费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报价单位，报价单位均自行承担所有参与报价活动有关的全部费用。报价单位根据自身业务范围及技术能力，选择报价文件中能独立完成工作的项目进行报价，并提供营业执照（复印件）、法人身份证复印件，以上文件均盖鲜章。</w:t>
      </w:r>
    </w:p>
    <w:p w14:paraId="2FAF23F5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报价为完成对应工作的全部费用，包含资料收集、数模建立、现场踏勘、编制报告并通过审查，最终取得批复。</w:t>
      </w:r>
    </w:p>
    <w:p w14:paraId="422667E5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五、递交文件截止时间</w:t>
      </w:r>
    </w:p>
    <w:p w14:paraId="173EEF32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（一）报价征集截止时间为202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日17时30分（北京时间）；</w:t>
      </w:r>
    </w:p>
    <w:p w14:paraId="026388FB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（二）报价递交方式</w:t>
      </w:r>
    </w:p>
    <w:p w14:paraId="204454AA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1.本次文件递交方式可采用现场递交或邮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寄资料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或邮箱3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种方式。具体地址如下：四川省凉山州西昌市长安东路55号凉山州交城投集团公司3楼309室（允许资料邮寄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或通过邮箱发送PDF电子档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</w:t>
      </w:r>
    </w:p>
    <w:p w14:paraId="1FC00D74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2.逾期送达的或者未送达指定地点的，将予以拒收。邮寄文件的以寄出时间为准。</w:t>
      </w:r>
    </w:p>
    <w:p w14:paraId="2BF00377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六、联系方式</w:t>
      </w:r>
    </w:p>
    <w:p w14:paraId="4C2907CC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招标人：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凉山州交城建设项目管理有限责任公司</w:t>
      </w:r>
    </w:p>
    <w:p w14:paraId="6E2556F7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地   址：四川省凉山州西昌市长安东路55号凉山州交城投集团公司3楼309室</w:t>
      </w:r>
    </w:p>
    <w:p w14:paraId="62E5FA24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邮  箱：2371310166@qq.com</w:t>
      </w:r>
    </w:p>
    <w:p w14:paraId="6C6AC45F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联系人：李先生、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刘先生</w:t>
      </w:r>
    </w:p>
    <w:p w14:paraId="4653FE2A">
      <w:pPr>
        <w:pStyle w:val="3"/>
        <w:widowControl/>
        <w:shd w:val="clear" w:color="auto" w:fill="FFFFFF"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电   话：18282839611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、18328821945</w:t>
      </w:r>
    </w:p>
    <w:p w14:paraId="46AAF467">
      <w:pPr>
        <w:spacing w:line="579" w:lineRule="exact"/>
        <w:ind w:firstLine="1687" w:firstLineChars="600"/>
        <w:jc w:val="righ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52E1AA8">
      <w:pPr>
        <w:spacing w:line="579" w:lineRule="exact"/>
        <w:ind w:firstLine="1687" w:firstLineChars="600"/>
        <w:jc w:val="righ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04189EF8">
      <w:pPr>
        <w:spacing w:line="579" w:lineRule="exact"/>
        <w:ind w:firstLine="1928" w:firstLineChars="600"/>
        <w:jc w:val="righ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凉山州交城建设项目管理有限责任公司</w:t>
      </w:r>
    </w:p>
    <w:p w14:paraId="5AB1205D">
      <w:pPr>
        <w:spacing w:line="579" w:lineRule="exact"/>
        <w:ind w:firstLine="4263" w:firstLineChars="1327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</w:t>
      </w:r>
    </w:p>
    <w:p w14:paraId="6EA915CF">
      <w:pPr>
        <w:spacing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37BC228">
      <w:pPr>
        <w:spacing w:line="360" w:lineRule="auto"/>
        <w:rPr>
          <w:rFonts w:hint="eastAsia" w:ascii="仿宋_GB2312" w:hAnsi="仿宋_GB2312" w:eastAsia="仿宋_GB2312" w:cs="仿宋_GB2312"/>
          <w:b/>
          <w:szCs w:val="21"/>
        </w:rPr>
      </w:pPr>
    </w:p>
    <w:p w14:paraId="6B5A31D1">
      <w:pPr>
        <w:spacing w:line="360" w:lineRule="auto"/>
        <w:rPr>
          <w:rFonts w:hint="eastAsia" w:ascii="仿宋_GB2312" w:hAnsi="仿宋_GB2312" w:eastAsia="仿宋_GB2312" w:cs="仿宋_GB2312"/>
          <w:b/>
          <w:szCs w:val="21"/>
        </w:rPr>
      </w:pPr>
    </w:p>
    <w:p w14:paraId="6460C524">
      <w:pPr>
        <w:spacing w:line="360" w:lineRule="auto"/>
        <w:rPr>
          <w:rFonts w:ascii="仿宋" w:hAnsi="仿宋" w:eastAsia="仿宋" w:cs="仿宋"/>
          <w:b/>
          <w:sz w:val="36"/>
          <w:szCs w:val="32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附件：</w:t>
      </w:r>
    </w:p>
    <w:tbl>
      <w:tblPr>
        <w:tblStyle w:val="4"/>
        <w:tblW w:w="8783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098"/>
        <w:gridCol w:w="1152"/>
        <w:gridCol w:w="942"/>
        <w:gridCol w:w="1264"/>
        <w:gridCol w:w="1139"/>
        <w:gridCol w:w="1469"/>
        <w:gridCol w:w="1296"/>
      </w:tblGrid>
      <w:tr w14:paraId="4BF2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23" w:type="dxa"/>
            <w:vMerge w:val="restart"/>
            <w:noWrap w:val="0"/>
            <w:vAlign w:val="center"/>
          </w:tcPr>
          <w:p w14:paraId="218F5D66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250" w:type="dxa"/>
            <w:gridSpan w:val="2"/>
            <w:vMerge w:val="restart"/>
            <w:noWrap w:val="0"/>
            <w:vAlign w:val="center"/>
          </w:tcPr>
          <w:p w14:paraId="69AB5C9F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专题要件名称</w:t>
            </w:r>
          </w:p>
        </w:tc>
        <w:tc>
          <w:tcPr>
            <w:tcW w:w="2206" w:type="dxa"/>
            <w:gridSpan w:val="2"/>
            <w:noWrap w:val="0"/>
            <w:vAlign w:val="center"/>
          </w:tcPr>
          <w:p w14:paraId="51C7A0E4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块状项目 </w:t>
            </w:r>
          </w:p>
        </w:tc>
        <w:tc>
          <w:tcPr>
            <w:tcW w:w="3904" w:type="dxa"/>
            <w:gridSpan w:val="3"/>
            <w:noWrap w:val="0"/>
            <w:vAlign w:val="center"/>
          </w:tcPr>
          <w:p w14:paraId="7CCD6388">
            <w:pPr>
              <w:jc w:val="center"/>
              <w:outlineLvl w:val="0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线性工程</w:t>
            </w:r>
          </w:p>
        </w:tc>
      </w:tr>
      <w:tr w14:paraId="07E2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23" w:type="dxa"/>
            <w:vMerge w:val="continue"/>
            <w:noWrap w:val="0"/>
            <w:vAlign w:val="center"/>
          </w:tcPr>
          <w:p w14:paraId="0FF60F80">
            <w:pPr>
              <w:jc w:val="center"/>
              <w:outlineLvl w:val="0"/>
              <w:rPr>
                <w:sz w:val="28"/>
                <w:szCs w:val="32"/>
              </w:rPr>
            </w:pPr>
          </w:p>
        </w:tc>
        <w:tc>
          <w:tcPr>
            <w:tcW w:w="2250" w:type="dxa"/>
            <w:gridSpan w:val="2"/>
            <w:vMerge w:val="continue"/>
            <w:noWrap w:val="0"/>
            <w:vAlign w:val="center"/>
          </w:tcPr>
          <w:p w14:paraId="37AC0EA2">
            <w:pPr>
              <w:jc w:val="center"/>
              <w:outlineLvl w:val="0"/>
              <w:rPr>
                <w:sz w:val="28"/>
                <w:szCs w:val="32"/>
              </w:rPr>
            </w:pPr>
          </w:p>
        </w:tc>
        <w:tc>
          <w:tcPr>
            <w:tcW w:w="942" w:type="dxa"/>
            <w:noWrap w:val="0"/>
            <w:vAlign w:val="center"/>
          </w:tcPr>
          <w:p w14:paraId="615A00C8">
            <w:pPr>
              <w:jc w:val="center"/>
              <w:outlineLvl w:val="0"/>
              <w:rPr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20公顷以下报价（万元）</w:t>
            </w:r>
          </w:p>
        </w:tc>
        <w:tc>
          <w:tcPr>
            <w:tcW w:w="1264" w:type="dxa"/>
            <w:noWrap w:val="0"/>
            <w:vAlign w:val="center"/>
          </w:tcPr>
          <w:p w14:paraId="49EE3E16">
            <w:pPr>
              <w:jc w:val="center"/>
              <w:outlineLvl w:val="0"/>
              <w:rPr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20公顷以上报价（万元）</w:t>
            </w:r>
          </w:p>
        </w:tc>
        <w:tc>
          <w:tcPr>
            <w:tcW w:w="1139" w:type="dxa"/>
            <w:noWrap w:val="0"/>
            <w:vAlign w:val="center"/>
          </w:tcPr>
          <w:p w14:paraId="10B20B1E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建设里程（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50km以下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）报价（万元）</w:t>
            </w:r>
          </w:p>
        </w:tc>
        <w:tc>
          <w:tcPr>
            <w:tcW w:w="1469" w:type="dxa"/>
            <w:noWrap w:val="0"/>
            <w:vAlign w:val="center"/>
          </w:tcPr>
          <w:p w14:paraId="055D40A6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建设里程（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50-100km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）</w:t>
            </w:r>
          </w:p>
          <w:p w14:paraId="4737B9D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报价（万元）</w:t>
            </w:r>
          </w:p>
        </w:tc>
        <w:tc>
          <w:tcPr>
            <w:tcW w:w="1296" w:type="dxa"/>
            <w:noWrap w:val="0"/>
            <w:vAlign w:val="center"/>
          </w:tcPr>
          <w:p w14:paraId="758BF91D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建设里程（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</w:rPr>
              <w:t>100km以上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）报价（万元）</w:t>
            </w:r>
          </w:p>
        </w:tc>
      </w:tr>
      <w:tr w14:paraId="49F0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23" w:type="dxa"/>
            <w:noWrap w:val="0"/>
            <w:vAlign w:val="center"/>
          </w:tcPr>
          <w:p w14:paraId="48F2B02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647F2C0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用地预审与选址意见书</w:t>
            </w:r>
          </w:p>
        </w:tc>
        <w:tc>
          <w:tcPr>
            <w:tcW w:w="942" w:type="dxa"/>
            <w:noWrap w:val="0"/>
            <w:vAlign w:val="center"/>
          </w:tcPr>
          <w:p w14:paraId="4E052165"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41EEFDAC"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35F972FE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284FD255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3917DD73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6E51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23" w:type="dxa"/>
            <w:noWrap w:val="0"/>
            <w:vAlign w:val="center"/>
          </w:tcPr>
          <w:p w14:paraId="7E4C8DED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0A6B863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地质灾害危险性评估报告</w:t>
            </w:r>
          </w:p>
        </w:tc>
        <w:tc>
          <w:tcPr>
            <w:tcW w:w="942" w:type="dxa"/>
            <w:noWrap w:val="0"/>
            <w:vAlign w:val="center"/>
          </w:tcPr>
          <w:p w14:paraId="5F19669F"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78F93CDF"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17337CF5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2966269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01EDA5F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46AE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23" w:type="dxa"/>
            <w:noWrap w:val="0"/>
            <w:vAlign w:val="center"/>
          </w:tcPr>
          <w:p w14:paraId="3FE377FC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6057E5D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立项社会稳定风险评估报告</w:t>
            </w:r>
          </w:p>
        </w:tc>
        <w:tc>
          <w:tcPr>
            <w:tcW w:w="942" w:type="dxa"/>
            <w:noWrap w:val="0"/>
            <w:vAlign w:val="center"/>
          </w:tcPr>
          <w:p w14:paraId="328E57DC">
            <w:pP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E17954E">
            <w:pP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4B980264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082493E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74F97D9E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2550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noWrap w:val="0"/>
            <w:vAlign w:val="center"/>
          </w:tcPr>
          <w:p w14:paraId="2D01CF9A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06D750C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航道通航条件影响评价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（码头工程或跨通航河道的公路桥梁工程）</w:t>
            </w:r>
          </w:p>
        </w:tc>
        <w:tc>
          <w:tcPr>
            <w:tcW w:w="942" w:type="dxa"/>
            <w:noWrap w:val="0"/>
            <w:vAlign w:val="center"/>
          </w:tcPr>
          <w:p w14:paraId="15240465">
            <w:pP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AD8C103">
            <w:pP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3B84B7EF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4E1D218D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10856F6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045A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noWrap w:val="0"/>
            <w:vAlign w:val="center"/>
          </w:tcPr>
          <w:p w14:paraId="2136667C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63A85A5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安全预预评价报告</w:t>
            </w:r>
          </w:p>
        </w:tc>
        <w:tc>
          <w:tcPr>
            <w:tcW w:w="942" w:type="dxa"/>
            <w:noWrap w:val="0"/>
            <w:vAlign w:val="center"/>
          </w:tcPr>
          <w:p w14:paraId="00D0D276">
            <w:pP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EC19E10">
            <w:pP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75A22F00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04386679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73B3D00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44E6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3" w:type="dxa"/>
            <w:noWrap w:val="0"/>
            <w:vAlign w:val="center"/>
          </w:tcPr>
          <w:p w14:paraId="5EBA1757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11953E0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陆生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/水生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生物影响评价</w:t>
            </w:r>
          </w:p>
        </w:tc>
        <w:tc>
          <w:tcPr>
            <w:tcW w:w="942" w:type="dxa"/>
            <w:noWrap w:val="0"/>
            <w:vAlign w:val="center"/>
          </w:tcPr>
          <w:p w14:paraId="085EF797">
            <w:pP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1E2C163">
            <w:pP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E2ADB1D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10B4C06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A91CF1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145B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noWrap w:val="0"/>
            <w:vAlign w:val="center"/>
          </w:tcPr>
          <w:p w14:paraId="62068D74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7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426B44B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饮用水源报告</w:t>
            </w:r>
          </w:p>
        </w:tc>
        <w:tc>
          <w:tcPr>
            <w:tcW w:w="942" w:type="dxa"/>
            <w:noWrap w:val="0"/>
            <w:vAlign w:val="center"/>
          </w:tcPr>
          <w:p w14:paraId="5F37AC8A">
            <w:pP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BDFBB2D">
            <w:pP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395EF15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6123A911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8DA1D8C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27E5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noWrap w:val="0"/>
            <w:vAlign w:val="center"/>
          </w:tcPr>
          <w:p w14:paraId="5A008F98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8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38281A8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节能评估报告</w:t>
            </w:r>
          </w:p>
        </w:tc>
        <w:tc>
          <w:tcPr>
            <w:tcW w:w="942" w:type="dxa"/>
            <w:noWrap w:val="0"/>
            <w:vAlign w:val="center"/>
          </w:tcPr>
          <w:p w14:paraId="55C57686">
            <w:pP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2781768">
            <w:pP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325FB87B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04D39676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3D9FB53E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 w14:paraId="2338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23" w:type="dxa"/>
            <w:vMerge w:val="restart"/>
            <w:noWrap w:val="0"/>
            <w:vAlign w:val="center"/>
          </w:tcPr>
          <w:p w14:paraId="64AC4AFC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98" w:type="dxa"/>
            <w:vMerge w:val="restart"/>
            <w:noWrap w:val="0"/>
            <w:vAlign w:val="center"/>
          </w:tcPr>
          <w:p w14:paraId="0A27F35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环评验收（含过程监测）</w:t>
            </w:r>
          </w:p>
        </w:tc>
        <w:tc>
          <w:tcPr>
            <w:tcW w:w="1152" w:type="dxa"/>
            <w:noWrap w:val="0"/>
            <w:vAlign w:val="center"/>
          </w:tcPr>
          <w:p w14:paraId="5A6951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部批项目</w:t>
            </w:r>
          </w:p>
        </w:tc>
        <w:tc>
          <w:tcPr>
            <w:tcW w:w="942" w:type="dxa"/>
            <w:noWrap w:val="0"/>
            <w:vAlign w:val="center"/>
          </w:tcPr>
          <w:p w14:paraId="45858DE9"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304A8C32"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1A7BA8B6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13E440A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2C162D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373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23" w:type="dxa"/>
            <w:vMerge w:val="continue"/>
            <w:noWrap w:val="0"/>
            <w:vAlign w:val="center"/>
          </w:tcPr>
          <w:p w14:paraId="6B38F98C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473EB6C5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0868F0C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省批项目</w:t>
            </w:r>
          </w:p>
        </w:tc>
        <w:tc>
          <w:tcPr>
            <w:tcW w:w="942" w:type="dxa"/>
            <w:noWrap w:val="0"/>
            <w:vAlign w:val="center"/>
          </w:tcPr>
          <w:p w14:paraId="4418D3F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952F66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74207E1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10562E5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1D431E4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98F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23" w:type="dxa"/>
            <w:vMerge w:val="continue"/>
            <w:noWrap w:val="0"/>
            <w:vAlign w:val="center"/>
          </w:tcPr>
          <w:p w14:paraId="44CC3DF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 w14:paraId="53556D0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6F0FFDBA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州批项目</w:t>
            </w:r>
          </w:p>
        </w:tc>
        <w:tc>
          <w:tcPr>
            <w:tcW w:w="942" w:type="dxa"/>
            <w:noWrap w:val="0"/>
            <w:vAlign w:val="center"/>
          </w:tcPr>
          <w:p w14:paraId="3CB48AC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EC4513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63CAD28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6F1E25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3F22C37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 w14:paraId="50AF40E0">
      <w:pPr>
        <w:pStyle w:val="2"/>
        <w:rPr>
          <w:rFonts w:hint="eastAsia"/>
          <w:lang w:val="en-US" w:eastAsia="zh-CN"/>
        </w:rPr>
      </w:pPr>
    </w:p>
    <w:p w14:paraId="27EF57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B69D8"/>
    <w:rsid w:val="0120404A"/>
    <w:rsid w:val="01D11652"/>
    <w:rsid w:val="118F24AD"/>
    <w:rsid w:val="27374AC8"/>
    <w:rsid w:val="30A95B0F"/>
    <w:rsid w:val="3AB1398E"/>
    <w:rsid w:val="48E105EA"/>
    <w:rsid w:val="5CE87C8C"/>
    <w:rsid w:val="5D9E6AB8"/>
    <w:rsid w:val="70E45F0A"/>
    <w:rsid w:val="737B69D8"/>
    <w:rsid w:val="7C6552C8"/>
    <w:rsid w:val="7F09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华文中宋" w:eastAsia="华文中宋"/>
      <w:bCs/>
      <w:sz w:val="2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1007</Characters>
  <Lines>0</Lines>
  <Paragraphs>0</Paragraphs>
  <TotalTime>12</TotalTime>
  <ScaleCrop>false</ScaleCrop>
  <LinksUpToDate>false</LinksUpToDate>
  <CharactersWithSpaces>1019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2025-11-19T09:17:00Z</dcterms:created>
  <dc:creator>李秋漫</dc:creator>
  <cp:lastModifiedBy>李磊</cp:lastModifiedBy>
  <cp:lastPrinted>2026-06-08T09:15:22Z</cp:lastPrinted>
  <dcterms:modified xsi:type="dcterms:W3CDTF">2026-06-08T09:16:09Z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034540CD2CE74D7D87DE0F943BF52E8F_13</vt:lpwstr>
  </property>
  <property fmtid="{D5CDD505-2E9C-101B-9397-08002B2CF9AE}" pid="4" name="KSOTemplateDocerSaveRecord">
    <vt:lpwstr>eyJoZGlkIjoiMTU2OGUyNTlmYTkyNzdmYTc2ZjU5ZTIxMzUxZThmOTAiLCJ1c2VySWQiOiIxNjY2OTc0NjUzIn0=</vt:lpwstr>
  </property>
</Properties>
</file>